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000000"/>
          <w:kern w:val="0"/>
          <w:szCs w:val="24"/>
          <w:u w:val="single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茲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  <w:u w:val="single"/>
        </w:rPr>
        <w:t>通知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  <w:u w:val="single"/>
        </w:rPr>
        <w:t>富蘭克林投顧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  <w:u w:val="single"/>
        </w:rPr>
        <w:t>2024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  <w:u w:val="single"/>
        </w:rPr>
        <w:t>年第四季投資人須知更新通知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  <w:u w:val="single"/>
        </w:rPr>
        <w:t>(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  <w:u w:val="single"/>
        </w:rPr>
        <w:t>美國註冊基金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  <w:u w:val="single"/>
        </w:rPr>
        <w:t>/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  <w:u w:val="single"/>
        </w:rPr>
        <w:t>盧森堡註冊基金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  <w:u w:val="single"/>
        </w:rPr>
        <w:t>/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  <w:u w:val="single"/>
        </w:rPr>
        <w:t>愛爾蘭註冊基金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  <w:u w:val="single"/>
        </w:rPr>
        <w:t>)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0000FF"/>
          <w:kern w:val="0"/>
          <w:szCs w:val="24"/>
        </w:rPr>
      </w:pPr>
      <w:r>
        <w:rPr>
          <w:rFonts w:ascii="微軟正黑體" w:eastAsia="微軟正黑體" w:cs="微軟正黑體"/>
          <w:b/>
          <w:bCs/>
          <w:color w:val="0000FF"/>
          <w:kern w:val="0"/>
          <w:sz w:val="28"/>
          <w:szCs w:val="28"/>
        </w:rPr>
        <w:t xml:space="preserve"> </w:t>
      </w:r>
      <w:r>
        <w:rPr>
          <w:rFonts w:ascii="微軟正黑體" w:eastAsia="微軟正黑體" w:cs="微軟正黑體" w:hint="eastAsia"/>
          <w:b/>
          <w:bCs/>
          <w:color w:val="0000FF"/>
          <w:kern w:val="0"/>
          <w:szCs w:val="24"/>
        </w:rPr>
        <w:t>更新摘要如下：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proofErr w:type="gramStart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【</w:t>
      </w:r>
      <w:proofErr w:type="gramEnd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第一部分：基金專屬資訊</w:t>
      </w:r>
      <w:proofErr w:type="gramStart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】</w:t>
      </w:r>
      <w:proofErr w:type="gramEnd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b/>
          <w:bCs/>
          <w:color w:val="004080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更新刊印日期為：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114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2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6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日</w:t>
      </w:r>
      <w:r>
        <w:rPr>
          <w:rFonts w:ascii="Calibri" w:eastAsia="細明體" w:hAnsi="Calibri" w:cs="Calibri"/>
          <w:b/>
          <w:bCs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48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更新「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壹、基本資料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」如下：</w:t>
      </w:r>
    </w:p>
    <w:p w:rsidR="00320C2A" w:rsidRDefault="00AA72C4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-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基金規模數字更新至</w:t>
      </w:r>
      <w:r w:rsidR="00320C2A"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 xml:space="preserve"> 2024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年</w:t>
      </w:r>
      <w:r w:rsidR="00320C2A"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12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月</w:t>
      </w:r>
      <w:r w:rsidR="00320C2A"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31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日</w:t>
      </w:r>
    </w:p>
    <w:p w:rsidR="00320C2A" w:rsidRDefault="00AA72C4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-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更新國人投資比重至</w:t>
      </w:r>
      <w:r w:rsidR="00320C2A"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 xml:space="preserve"> 2024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年</w:t>
      </w:r>
      <w:r w:rsidR="00320C2A"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12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月</w:t>
      </w:r>
      <w:r w:rsidR="00320C2A"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31</w:t>
      </w:r>
      <w:r w:rsidR="00320C2A"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color w:val="004080"/>
          <w:kern w:val="0"/>
          <w:szCs w:val="24"/>
        </w:rPr>
      </w:pPr>
      <w:r>
        <w:rPr>
          <w:rFonts w:ascii="Calibri" w:eastAsia="細明體" w:hAnsi="Calibri" w:cs="Calibri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更新「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貳、基金投資標的與策略（簡介）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」如下：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依</w:t>
      </w:r>
      <w:r>
        <w:rPr>
          <w:rFonts w:ascii="微軟正黑體" w:eastAsia="微軟正黑體" w:cs="微軟正黑體" w:hint="eastAsia"/>
          <w:color w:val="000000"/>
          <w:kern w:val="0"/>
          <w:szCs w:val="24"/>
          <w:u w:val="single"/>
        </w:rPr>
        <w:t>美盛全球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  <w:u w:val="single"/>
        </w:rPr>
        <w:t>系列基金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之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2024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10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月版本公開說明書所載內容之變動修訂「</w:t>
      </w:r>
      <w:r>
        <w:rPr>
          <w:rFonts w:ascii="微軟正黑體" w:eastAsia="微軟正黑體" w:cs="微軟正黑體" w:hint="eastAsia"/>
          <w:color w:val="4141FF"/>
          <w:kern w:val="0"/>
          <w:szCs w:val="24"/>
        </w:rPr>
        <w:t>美盛凱利基礎建設價值基金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」與「</w:t>
      </w:r>
      <w:proofErr w:type="gramStart"/>
      <w:r>
        <w:rPr>
          <w:rFonts w:ascii="微軟正黑體" w:eastAsia="微軟正黑體" w:cs="微軟正黑體" w:hint="eastAsia"/>
          <w:color w:val="4141FF"/>
          <w:kern w:val="0"/>
          <w:szCs w:val="24"/>
        </w:rPr>
        <w:t>美盛美國</w:t>
      </w:r>
      <w:proofErr w:type="gramEnd"/>
      <w:r>
        <w:rPr>
          <w:rFonts w:ascii="微軟正黑體" w:eastAsia="微軟正黑體" w:cs="微軟正黑體" w:hint="eastAsia"/>
          <w:color w:val="4141FF"/>
          <w:kern w:val="0"/>
          <w:szCs w:val="24"/>
        </w:rPr>
        <w:t>永續發展基金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」之投資標的與策略。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color w:val="004080"/>
          <w:kern w:val="0"/>
          <w:szCs w:val="24"/>
        </w:rPr>
      </w:pPr>
      <w:r>
        <w:rPr>
          <w:rFonts w:ascii="Calibri" w:eastAsia="細明體" w:hAnsi="Calibri" w:cs="Calibri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48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更新「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參、投資本基金之主要風險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」如下：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-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依</w:t>
      </w:r>
      <w:r>
        <w:rPr>
          <w:rFonts w:ascii="微軟正黑體" w:eastAsia="微軟正黑體" w:cs="微軟正黑體" w:hint="eastAsia"/>
          <w:color w:val="000000"/>
          <w:kern w:val="0"/>
          <w:szCs w:val="24"/>
          <w:u w:val="single"/>
        </w:rPr>
        <w:t>富蘭克林坦伯頓外國基金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之</w:t>
      </w:r>
      <w:r>
        <w:rPr>
          <w:rFonts w:ascii="微軟正黑體" w:eastAsia="微軟正黑體" w:cs="微軟正黑體"/>
          <w:color w:val="000000"/>
          <w:kern w:val="0"/>
          <w:szCs w:val="24"/>
        </w:rPr>
        <w:t>2025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月版本公開說明書所載內容之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 w:firstLineChars="100" w:firstLine="24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變動修訂其主要風險。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 xml:space="preserve">- 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更新基金實際投資美國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Rule 144A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債券之比例：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(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季更新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)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1320"/>
        <w:rPr>
          <w:rFonts w:ascii="微軟正黑體" w:eastAsia="微軟正黑體" w:cs="微軟正黑體"/>
          <w:color w:val="4141FF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1.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境外基金投資</w:t>
      </w:r>
      <w:r>
        <w:rPr>
          <w:rFonts w:ascii="微軟正黑體" w:eastAsia="微軟正黑體" w:cs="微軟正黑體"/>
          <w:color w:val="000000"/>
          <w:kern w:val="0"/>
          <w:szCs w:val="24"/>
        </w:rPr>
        <w:t>Rule 144A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債券達基金淨資產價值</w:t>
      </w:r>
      <w:r>
        <w:rPr>
          <w:rFonts w:ascii="微軟正黑體" w:eastAsia="微軟正黑體" w:cs="微軟正黑體"/>
          <w:color w:val="000000"/>
          <w:kern w:val="0"/>
          <w:szCs w:val="24"/>
        </w:rPr>
        <w:t>60%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以上者：</w:t>
      </w:r>
      <w:r>
        <w:rPr>
          <w:rFonts w:ascii="微軟正黑體" w:eastAsia="微軟正黑體" w:cs="微軟正黑體" w:hint="eastAsia"/>
          <w:color w:val="4141FF"/>
          <w:kern w:val="0"/>
          <w:szCs w:val="24"/>
        </w:rPr>
        <w:t>富蘭克林坦伯頓公司債基金、</w:t>
      </w:r>
      <w:proofErr w:type="gramStart"/>
      <w:r>
        <w:rPr>
          <w:rFonts w:ascii="微軟正黑體" w:eastAsia="微軟正黑體" w:cs="微軟正黑體" w:hint="eastAsia"/>
          <w:color w:val="4141FF"/>
          <w:kern w:val="0"/>
          <w:szCs w:val="24"/>
        </w:rPr>
        <w:t>美盛美國</w:t>
      </w:r>
      <w:proofErr w:type="gramEnd"/>
      <w:r>
        <w:rPr>
          <w:rFonts w:ascii="微軟正黑體" w:eastAsia="微軟正黑體" w:cs="微軟正黑體" w:hint="eastAsia"/>
          <w:color w:val="4141FF"/>
          <w:kern w:val="0"/>
          <w:szCs w:val="24"/>
        </w:rPr>
        <w:t>非投資等級債券基金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1320"/>
        <w:rPr>
          <w:rFonts w:ascii="微軟正黑體" w:eastAsia="微軟正黑體" w:cs="微軟正黑體"/>
          <w:color w:val="4141FF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2.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境外基金投資</w:t>
      </w:r>
      <w:r>
        <w:rPr>
          <w:rFonts w:ascii="微軟正黑體" w:eastAsia="微軟正黑體" w:cs="微軟正黑體"/>
          <w:color w:val="000000"/>
          <w:kern w:val="0"/>
          <w:szCs w:val="24"/>
        </w:rPr>
        <w:t>Rule 144A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債券達基金淨資產價值之</w:t>
      </w:r>
      <w:r>
        <w:rPr>
          <w:rFonts w:ascii="微軟正黑體" w:eastAsia="微軟正黑體" w:cs="微軟正黑體"/>
          <w:color w:val="000000"/>
          <w:kern w:val="0"/>
          <w:szCs w:val="24"/>
        </w:rPr>
        <w:t>30%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以上而未達</w:t>
      </w:r>
      <w:r>
        <w:rPr>
          <w:rFonts w:ascii="微軟正黑體" w:eastAsia="微軟正黑體" w:cs="微軟正黑體"/>
          <w:color w:val="000000"/>
          <w:kern w:val="0"/>
          <w:szCs w:val="24"/>
        </w:rPr>
        <w:t>60%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者：</w:t>
      </w:r>
      <w:r>
        <w:rPr>
          <w:rFonts w:ascii="微軟正黑體" w:eastAsia="微軟正黑體" w:cs="微軟正黑體" w:hint="eastAsia"/>
          <w:color w:val="4141FF"/>
          <w:kern w:val="0"/>
          <w:szCs w:val="24"/>
        </w:rPr>
        <w:t>富蘭克林坦伯頓精選收益基金、富蘭克林坦伯頓全球非投資等級債券基金、</w:t>
      </w:r>
      <w:proofErr w:type="gramStart"/>
      <w:r>
        <w:rPr>
          <w:rFonts w:ascii="微軟正黑體" w:eastAsia="微軟正黑體" w:cs="微軟正黑體" w:hint="eastAsia"/>
          <w:color w:val="4141FF"/>
          <w:kern w:val="0"/>
          <w:szCs w:val="24"/>
        </w:rPr>
        <w:t>美盛全球</w:t>
      </w:r>
      <w:proofErr w:type="gramEnd"/>
      <w:r>
        <w:rPr>
          <w:rFonts w:ascii="微軟正黑體" w:eastAsia="微軟正黑體" w:cs="微軟正黑體" w:hint="eastAsia"/>
          <w:color w:val="4141FF"/>
          <w:kern w:val="0"/>
          <w:szCs w:val="24"/>
        </w:rPr>
        <w:t>非投資等級債券基金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color w:val="004080"/>
          <w:kern w:val="0"/>
          <w:szCs w:val="24"/>
        </w:rPr>
      </w:pPr>
      <w:r>
        <w:rPr>
          <w:rFonts w:ascii="Calibri" w:eastAsia="細明體" w:hAnsi="Calibri" w:cs="Calibri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48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更新「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伍、基金運用狀況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」如下：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一、基金淨資產組成更新至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2024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>12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color w:val="000000"/>
          <w:kern w:val="0"/>
          <w:szCs w:val="24"/>
        </w:rPr>
        <w:t>31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二、最近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十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年度基金淨值走勢圖更新至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2024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>12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color w:val="000000"/>
          <w:kern w:val="0"/>
          <w:szCs w:val="24"/>
        </w:rPr>
        <w:t>31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三、最近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十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年度各年度基金報酬率更新至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2024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>12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color w:val="000000"/>
          <w:kern w:val="0"/>
          <w:szCs w:val="24"/>
        </w:rPr>
        <w:t>31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四、基金累計報酬率更新至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2024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>12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color w:val="000000"/>
          <w:kern w:val="0"/>
          <w:szCs w:val="24"/>
        </w:rPr>
        <w:t>31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五、最近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十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年度各年度每受益權單位收益分配更新至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113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</w:p>
    <w:p w:rsidR="00AA72C4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408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六、最近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五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年度各年度基金之費用率更新至</w:t>
      </w:r>
      <w:proofErr w:type="gramStart"/>
      <w:r>
        <w:rPr>
          <w:rFonts w:ascii="微軟正黑體" w:eastAsia="微軟正黑體" w:cs="微軟正黑體"/>
          <w:color w:val="000000"/>
          <w:kern w:val="0"/>
          <w:szCs w:val="24"/>
        </w:rPr>
        <w:t>113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</w:t>
      </w:r>
      <w:r>
        <w:rPr>
          <w:rFonts w:ascii="微軟正黑體" w:eastAsia="微軟正黑體" w:cs="微軟正黑體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4141FF"/>
          <w:kern w:val="0"/>
          <w:szCs w:val="24"/>
        </w:rPr>
        <w:t>(</w:t>
      </w:r>
      <w:r>
        <w:rPr>
          <w:rFonts w:ascii="微軟正黑體" w:eastAsia="微軟正黑體" w:cs="微軟正黑體" w:hint="eastAsia"/>
          <w:color w:val="4141FF"/>
          <w:kern w:val="0"/>
          <w:szCs w:val="24"/>
        </w:rPr>
        <w:t>富蘭克林成長基金、富蘭克林公用事業基金、富蘭克林高科技基金、富蘭克林高成長基金、富蘭克林潛力組合基金</w:t>
      </w:r>
      <w:r>
        <w:rPr>
          <w:rFonts w:ascii="微軟正黑體" w:eastAsia="微軟正黑體" w:cs="微軟正黑體"/>
          <w:color w:val="4141FF"/>
          <w:kern w:val="0"/>
          <w:szCs w:val="24"/>
        </w:rPr>
        <w:t xml:space="preserve">) </w:t>
      </w:r>
      <w:r>
        <w:rPr>
          <w:rFonts w:ascii="微軟正黑體" w:eastAsia="微軟正黑體" w:cs="微軟正黑體"/>
          <w:color w:val="000000"/>
          <w:kern w:val="0"/>
          <w:szCs w:val="24"/>
        </w:rPr>
        <w:t>(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年度更新</w:t>
      </w:r>
      <w:r>
        <w:rPr>
          <w:rFonts w:ascii="微軟正黑體" w:eastAsia="微軟正黑體" w:cs="微軟正黑體"/>
          <w:color w:val="000000"/>
          <w:kern w:val="0"/>
          <w:szCs w:val="24"/>
        </w:rPr>
        <w:t>)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72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七、基金前十大投資標的及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佔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基金淨資產比率更新至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2024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>12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color w:val="000000"/>
          <w:kern w:val="0"/>
          <w:szCs w:val="24"/>
        </w:rPr>
        <w:t>31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color w:val="004080"/>
          <w:kern w:val="0"/>
          <w:szCs w:val="24"/>
        </w:rPr>
      </w:pPr>
      <w:r>
        <w:rPr>
          <w:rFonts w:ascii="Calibri" w:eastAsia="細明體" w:hAnsi="Calibri" w:cs="Calibri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480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更新「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陸、投資人應負擔費用之項目及其計算方式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」如下：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84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更新「</w:t>
      </w:r>
      <w:r>
        <w:rPr>
          <w:rFonts w:ascii="微軟正黑體" w:eastAsia="微軟正黑體" w:cs="微軟正黑體" w:hint="eastAsia"/>
          <w:color w:val="4141FF"/>
          <w:kern w:val="0"/>
          <w:szCs w:val="24"/>
        </w:rPr>
        <w:t>富蘭克林成長基金、富蘭克林公用事業基金、富蘭克林高科技基金、富蘭克林高成長基金、富蘭克林潛力組合基金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」之實際經理費用年率、保管費與其他費用中股東報告書費用</w:t>
      </w:r>
      <w:r>
        <w:rPr>
          <w:rFonts w:ascii="微軟正黑體" w:eastAsia="微軟正黑體" w:cs="微軟正黑體"/>
          <w:color w:val="000000"/>
          <w:kern w:val="0"/>
          <w:szCs w:val="24"/>
        </w:rPr>
        <w:t>(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年度更新</w:t>
      </w:r>
      <w:r>
        <w:rPr>
          <w:rFonts w:ascii="微軟正黑體" w:eastAsia="微軟正黑體" w:cs="微軟正黑體"/>
          <w:color w:val="000000"/>
          <w:kern w:val="0"/>
          <w:szCs w:val="24"/>
        </w:rPr>
        <w:t>)</w:t>
      </w:r>
    </w:p>
    <w:p w:rsidR="00AA72C4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color w:val="004080"/>
          <w:kern w:val="0"/>
          <w:szCs w:val="24"/>
        </w:rPr>
      </w:pPr>
      <w:r>
        <w:rPr>
          <w:rFonts w:ascii="Calibri" w:eastAsia="細明體" w:hAnsi="Calibri" w:cs="Calibri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Calibri" w:eastAsia="細明體" w:hAnsi="Calibri" w:cs="Calibri"/>
          <w:color w:val="004080"/>
          <w:kern w:val="0"/>
          <w:szCs w:val="24"/>
        </w:rPr>
      </w:pPr>
      <w:r>
        <w:rPr>
          <w:rFonts w:ascii="Calibri" w:eastAsia="細明體" w:hAnsi="Calibri" w:cs="Calibri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proofErr w:type="gramStart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【</w:t>
      </w:r>
      <w:proofErr w:type="gramEnd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第二部分：一般資訊</w:t>
      </w:r>
      <w:proofErr w:type="gramStart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】</w:t>
      </w:r>
      <w:proofErr w:type="gramEnd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：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firstLineChars="100" w:firstLine="240"/>
        <w:rPr>
          <w:rFonts w:ascii="微軟正黑體" w:eastAsia="微軟正黑體" w:cs="微軟正黑體"/>
          <w:b/>
          <w:bCs/>
          <w:color w:val="4141FF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美國註冊基金（富蘭克林系列基金、富蘭克林坦伯頓系列基金）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24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-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更新富蘭克林坦伯頓基金集團公司簡介之資產規模及日期更新至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2024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cs="微軟正黑體"/>
          <w:color w:val="000000"/>
          <w:kern w:val="0"/>
          <w:szCs w:val="24"/>
        </w:rPr>
        <w:t>12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cs="微軟正黑體"/>
          <w:color w:val="000000"/>
          <w:kern w:val="0"/>
          <w:szCs w:val="24"/>
        </w:rPr>
        <w:t>31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日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 xml:space="preserve">-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更新保管機構之信用評等更新至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2025/1/24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color w:val="004080"/>
          <w:kern w:val="0"/>
          <w:szCs w:val="24"/>
        </w:rPr>
      </w:pPr>
      <w:r>
        <w:rPr>
          <w:rFonts w:ascii="微軟正黑體" w:eastAsia="微軟正黑體" w:cs="微軟正黑體"/>
          <w:color w:val="00408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4141FF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盧森堡註冊基金（富蘭克林坦伯頓全球投資系列基金、富蘭克林坦伯頓伊斯蘭系列基金）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ind w:left="240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lastRenderedPageBreak/>
        <w:t xml:space="preserve">-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更新保管機構之信用評等更新至</w:t>
      </w:r>
      <w:r>
        <w:rPr>
          <w:rFonts w:ascii="微軟正黑體" w:eastAsia="微軟正黑體" w:cs="微軟正黑體"/>
          <w:color w:val="000000"/>
          <w:kern w:val="0"/>
          <w:szCs w:val="24"/>
        </w:rPr>
        <w:t>2025/1/24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4141FF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愛爾蘭註冊基金（美盛全球系列基金）</w:t>
      </w:r>
    </w:p>
    <w:p w:rsidR="00320C2A" w:rsidRDefault="00AA72C4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>-</w:t>
      </w:r>
      <w:r w:rsidR="00320C2A">
        <w:rPr>
          <w:rFonts w:ascii="微軟正黑體" w:eastAsia="微軟正黑體" w:cs="微軟正黑體" w:hint="eastAsia"/>
          <w:color w:val="000000"/>
          <w:kern w:val="0"/>
          <w:szCs w:val="24"/>
        </w:rPr>
        <w:t>更新保管機構之信用評等更新至</w:t>
      </w:r>
      <w:r w:rsidR="00320C2A">
        <w:rPr>
          <w:rFonts w:ascii="微軟正黑體" w:eastAsia="微軟正黑體" w:cs="微軟正黑體"/>
          <w:color w:val="000000"/>
          <w:kern w:val="0"/>
          <w:szCs w:val="24"/>
        </w:rPr>
        <w:t>2025/1/24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</w:p>
    <w:p w:rsidR="00320C2A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000000"/>
          <w:kern w:val="0"/>
          <w:szCs w:val="24"/>
        </w:rPr>
      </w:pPr>
      <w:proofErr w:type="gramStart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【</w:t>
      </w:r>
      <w:proofErr w:type="gramEnd"/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ESG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相關主題境外基金：投資人須知及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 xml:space="preserve">ESG 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主題基金定期揭露資訊</w:t>
      </w:r>
      <w:proofErr w:type="gramStart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（</w:t>
      </w:r>
      <w:proofErr w:type="gramEnd"/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含最新盡職治理參與情形</w:t>
      </w:r>
      <w:r>
        <w:rPr>
          <w:rFonts w:ascii="微軟正黑體" w:eastAsia="微軟正黑體" w:cs="微軟正黑體"/>
          <w:b/>
          <w:bCs/>
          <w:color w:val="000000"/>
          <w:kern w:val="0"/>
          <w:szCs w:val="24"/>
        </w:rPr>
        <w:t>)</w:t>
      </w:r>
      <w:r>
        <w:rPr>
          <w:rFonts w:ascii="微軟正黑體" w:eastAsia="微軟正黑體" w:cs="微軟正黑體" w:hint="eastAsia"/>
          <w:b/>
          <w:bCs/>
          <w:color w:val="000000"/>
          <w:kern w:val="0"/>
          <w:szCs w:val="24"/>
        </w:rPr>
        <w:t>更新】</w:t>
      </w:r>
    </w:p>
    <w:p w:rsidR="00AA72C4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4141FF"/>
          <w:kern w:val="0"/>
          <w:szCs w:val="24"/>
        </w:rPr>
      </w:pP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茲通知</w:t>
      </w:r>
      <w:r>
        <w:rPr>
          <w:rFonts w:ascii="微軟正黑體" w:eastAsia="微軟正黑體" w:cs="微軟正黑體"/>
          <w:b/>
          <w:bCs/>
          <w:color w:val="4141FF"/>
          <w:kern w:val="0"/>
          <w:szCs w:val="24"/>
        </w:rPr>
        <w:t>2024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年第三季投資人須知及</w:t>
      </w:r>
      <w:r>
        <w:rPr>
          <w:rFonts w:ascii="微軟正黑體" w:eastAsia="微軟正黑體" w:cs="微軟正黑體"/>
          <w:b/>
          <w:bCs/>
          <w:color w:val="4141FF"/>
          <w:kern w:val="0"/>
          <w:szCs w:val="24"/>
        </w:rPr>
        <w:t xml:space="preserve">ESG </w:t>
      </w:r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主題基金定期揭露資訊</w:t>
      </w:r>
      <w:proofErr w:type="gramStart"/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（</w:t>
      </w:r>
      <w:proofErr w:type="gramEnd"/>
      <w:r>
        <w:rPr>
          <w:rFonts w:ascii="微軟正黑體" w:eastAsia="微軟正黑體" w:cs="微軟正黑體" w:hint="eastAsia"/>
          <w:b/>
          <w:bCs/>
          <w:color w:val="4141FF"/>
          <w:kern w:val="0"/>
          <w:szCs w:val="24"/>
        </w:rPr>
        <w:t>含最新盡職治理參與情形</w:t>
      </w:r>
      <w:r>
        <w:rPr>
          <w:rFonts w:ascii="微軟正黑體" w:eastAsia="微軟正黑體" w:cs="微軟正黑體"/>
          <w:b/>
          <w:bCs/>
          <w:color w:val="4141FF"/>
          <w:kern w:val="0"/>
          <w:szCs w:val="24"/>
        </w:rPr>
        <w:t>)</w:t>
      </w:r>
      <w:bookmarkStart w:id="0" w:name="_GoBack"/>
      <w:bookmarkEnd w:id="0"/>
    </w:p>
    <w:p w:rsidR="004C2D92" w:rsidRPr="00AA72C4" w:rsidRDefault="00320C2A" w:rsidP="00AA72C4">
      <w:pPr>
        <w:autoSpaceDE w:val="0"/>
        <w:autoSpaceDN w:val="0"/>
        <w:adjustRightInd w:val="0"/>
        <w:spacing w:line="280" w:lineRule="exact"/>
        <w:rPr>
          <w:rFonts w:ascii="微軟正黑體" w:eastAsia="微軟正黑體" w:cs="微軟正黑體"/>
          <w:b/>
          <w:bCs/>
          <w:color w:val="4141FF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以上資料亦已同步上傳於境外基金資訊觀測站及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投顧官網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，供投資人參考。</w:t>
      </w:r>
    </w:p>
    <w:sectPr w:rsidR="004C2D92" w:rsidRPr="00AA72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A"/>
    <w:rsid w:val="00320C2A"/>
    <w:rsid w:val="004C2D92"/>
    <w:rsid w:val="00A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66F6"/>
  <w15:chartTrackingRefBased/>
  <w15:docId w15:val="{58E694DE-985F-4302-8428-44C28315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Tsai</dc:creator>
  <cp:keywords/>
  <dc:description/>
  <cp:lastModifiedBy>Nicky Tsai</cp:lastModifiedBy>
  <cp:revision>1</cp:revision>
  <dcterms:created xsi:type="dcterms:W3CDTF">2025-02-10T09:38:00Z</dcterms:created>
  <dcterms:modified xsi:type="dcterms:W3CDTF">2025-02-10T10:02:00Z</dcterms:modified>
</cp:coreProperties>
</file>